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3819" w14:textId="141DBAB6" w:rsidR="009F4195" w:rsidRDefault="00C7504E" w:rsidP="009F4195">
      <w:pPr>
        <w:tabs>
          <w:tab w:val="left" w:pos="3240"/>
        </w:tabs>
        <w:jc w:val="center"/>
        <w:rPr>
          <w:rFonts w:cstheme="minorHAnsi"/>
          <w:b/>
          <w:bCs/>
        </w:rPr>
      </w:pPr>
      <w:r>
        <w:rPr>
          <w:rFonts w:cstheme="minorHAnsi"/>
          <w:b/>
          <w:bCs/>
        </w:rPr>
        <w:t>Tips for Creating Inclusive Clinical Learning Environments</w:t>
      </w:r>
    </w:p>
    <w:p w14:paraId="240B7868" w14:textId="1208F686" w:rsidR="009F78DE" w:rsidRDefault="00016DC5" w:rsidP="009F4195">
      <w:pPr>
        <w:tabs>
          <w:tab w:val="left" w:pos="3240"/>
        </w:tabs>
        <w:jc w:val="center"/>
        <w:rPr>
          <w:rFonts w:cstheme="minorHAnsi"/>
          <w:b/>
          <w:bCs/>
          <w:sz w:val="20"/>
          <w:szCs w:val="20"/>
        </w:rPr>
      </w:pPr>
      <w:r w:rsidRPr="00016DC5">
        <w:rPr>
          <w:rFonts w:cstheme="minorHAnsi"/>
          <w:b/>
          <w:bCs/>
          <w:sz w:val="20"/>
          <w:szCs w:val="20"/>
        </w:rPr>
        <w:t>(</w:t>
      </w:r>
      <w:proofErr w:type="gramStart"/>
      <w:r w:rsidRPr="00016DC5">
        <w:rPr>
          <w:rFonts w:cstheme="minorHAnsi"/>
          <w:b/>
          <w:bCs/>
          <w:sz w:val="20"/>
          <w:szCs w:val="20"/>
        </w:rPr>
        <w:t>modified</w:t>
      </w:r>
      <w:proofErr w:type="gramEnd"/>
      <w:r w:rsidRPr="00016DC5">
        <w:rPr>
          <w:rFonts w:cstheme="minorHAnsi"/>
          <w:b/>
          <w:bCs/>
          <w:sz w:val="20"/>
          <w:szCs w:val="20"/>
        </w:rPr>
        <w:t xml:space="preserve"> from the Guide for Inclusive Teaching at Columbia University)</w:t>
      </w:r>
    </w:p>
    <w:p w14:paraId="0C957BB4" w14:textId="5DB75E90" w:rsidR="002979FB" w:rsidRDefault="002979FB">
      <w:pPr>
        <w:rPr>
          <w:rFonts w:cstheme="minorHAnsi"/>
          <w:b/>
          <w:bCs/>
          <w:sz w:val="20"/>
          <w:szCs w:val="20"/>
        </w:rPr>
      </w:pPr>
    </w:p>
    <w:p w14:paraId="5EB3A0AA" w14:textId="00A71E05" w:rsidR="002979FB" w:rsidRPr="00A045FA" w:rsidRDefault="002979FB" w:rsidP="00AF7B34">
      <w:pPr>
        <w:jc w:val="center"/>
        <w:rPr>
          <w:b/>
          <w:bCs/>
        </w:rPr>
      </w:pPr>
      <w:r w:rsidRPr="00A045FA">
        <w:rPr>
          <w:b/>
          <w:bCs/>
        </w:rPr>
        <w:t xml:space="preserve">Students </w:t>
      </w:r>
      <w:r w:rsidR="00AF7B34">
        <w:rPr>
          <w:b/>
          <w:bCs/>
        </w:rPr>
        <w:t>watch what you do – and, in particular, what you don’t do. P</w:t>
      </w:r>
      <w:r w:rsidRPr="00A045FA">
        <w:rPr>
          <w:b/>
          <w:bCs/>
        </w:rPr>
        <w:t xml:space="preserve">lease </w:t>
      </w:r>
      <w:r w:rsidR="00CD2057">
        <w:rPr>
          <w:b/>
          <w:bCs/>
        </w:rPr>
        <w:t xml:space="preserve">role </w:t>
      </w:r>
      <w:r w:rsidRPr="00A045FA">
        <w:rPr>
          <w:b/>
          <w:bCs/>
        </w:rPr>
        <w:t>model these</w:t>
      </w:r>
      <w:r w:rsidR="00CD2057">
        <w:rPr>
          <w:b/>
          <w:bCs/>
        </w:rPr>
        <w:t xml:space="preserve"> principles intentionally</w:t>
      </w:r>
      <w:r w:rsidR="00657FAA" w:rsidRPr="00A045FA">
        <w:rPr>
          <w:b/>
          <w:bCs/>
        </w:rPr>
        <w:t>.</w:t>
      </w:r>
    </w:p>
    <w:p w14:paraId="24BA6F25" w14:textId="1F4699C9" w:rsidR="00657FAA" w:rsidRDefault="00657FAA">
      <w:pPr>
        <w:rPr>
          <w:b/>
          <w:bCs/>
          <w:u w:val="single"/>
        </w:rPr>
      </w:pPr>
    </w:p>
    <w:p w14:paraId="72868876" w14:textId="2ECC7E4D" w:rsidR="00657FAA" w:rsidRDefault="00657FAA">
      <w:pPr>
        <w:rPr>
          <w:b/>
          <w:bCs/>
          <w:u w:val="single"/>
        </w:rPr>
      </w:pPr>
      <w:r>
        <w:rPr>
          <w:b/>
          <w:bCs/>
          <w:u w:val="single"/>
        </w:rPr>
        <w:t xml:space="preserve">Key Point #1: </w:t>
      </w:r>
      <w:r w:rsidR="00CD2057">
        <w:rPr>
          <w:b/>
          <w:bCs/>
          <w:u w:val="single"/>
        </w:rPr>
        <w:t>E</w:t>
      </w:r>
      <w:r w:rsidR="00A045FA">
        <w:rPr>
          <w:b/>
          <w:bCs/>
          <w:u w:val="single"/>
        </w:rPr>
        <w:t>stablish an inclusive learning environment</w:t>
      </w:r>
      <w:r>
        <w:rPr>
          <w:b/>
          <w:bCs/>
          <w:u w:val="single"/>
        </w:rPr>
        <w:t xml:space="preserve"> at your first meeting with students.</w:t>
      </w:r>
    </w:p>
    <w:p w14:paraId="353A7AB5" w14:textId="0B7FD509" w:rsidR="006C1CE6" w:rsidRPr="006C1CE6" w:rsidRDefault="006C1CE6" w:rsidP="00657FAA">
      <w:pPr>
        <w:pStyle w:val="ListParagraph"/>
        <w:numPr>
          <w:ilvl w:val="0"/>
          <w:numId w:val="15"/>
        </w:numPr>
        <w:rPr>
          <w:sz w:val="22"/>
          <w:szCs w:val="22"/>
          <w:u w:val="single"/>
        </w:rPr>
      </w:pPr>
      <w:r w:rsidRPr="006C1CE6">
        <w:rPr>
          <w:sz w:val="22"/>
          <w:szCs w:val="22"/>
        </w:rPr>
        <w:t xml:space="preserve">Find time to deliberately introduce each team member to one another. </w:t>
      </w:r>
    </w:p>
    <w:p w14:paraId="7A5BA363" w14:textId="7E05C248" w:rsidR="003C7573" w:rsidRPr="006C1CE6" w:rsidRDefault="00695096" w:rsidP="00657FAA">
      <w:pPr>
        <w:pStyle w:val="ListParagraph"/>
        <w:numPr>
          <w:ilvl w:val="0"/>
          <w:numId w:val="15"/>
        </w:numPr>
        <w:rPr>
          <w:u w:val="single"/>
        </w:rPr>
      </w:pPr>
      <w:r>
        <w:rPr>
          <w:sz w:val="22"/>
          <w:szCs w:val="22"/>
        </w:rPr>
        <w:t xml:space="preserve">If you are at all unsure about </w:t>
      </w:r>
      <w:r w:rsidR="003C7573">
        <w:rPr>
          <w:sz w:val="22"/>
          <w:szCs w:val="22"/>
        </w:rPr>
        <w:t>how they pronounce their name: ask!</w:t>
      </w:r>
      <w:r w:rsidR="00AF7B34">
        <w:rPr>
          <w:sz w:val="22"/>
          <w:szCs w:val="22"/>
        </w:rPr>
        <w:t xml:space="preserve"> </w:t>
      </w:r>
      <w:r w:rsidR="003C7573">
        <w:rPr>
          <w:sz w:val="22"/>
          <w:szCs w:val="22"/>
        </w:rPr>
        <w:t xml:space="preserve">Don’t assume. </w:t>
      </w:r>
    </w:p>
    <w:p w14:paraId="1A2BC8AC" w14:textId="77777777" w:rsidR="00AF3F71" w:rsidRPr="00AF3F71" w:rsidRDefault="003C7573" w:rsidP="00AF3F71">
      <w:pPr>
        <w:pStyle w:val="ListParagraph"/>
        <w:numPr>
          <w:ilvl w:val="0"/>
          <w:numId w:val="15"/>
        </w:numPr>
        <w:rPr>
          <w:u w:val="single"/>
        </w:rPr>
      </w:pPr>
      <w:r w:rsidRPr="006C1CE6">
        <w:rPr>
          <w:sz w:val="22"/>
          <w:szCs w:val="22"/>
        </w:rPr>
        <w:t xml:space="preserve">We encourage you to introduce yourself with your pronouns. </w:t>
      </w:r>
      <w:r w:rsidR="006C1CE6">
        <w:rPr>
          <w:sz w:val="22"/>
          <w:szCs w:val="22"/>
        </w:rPr>
        <w:t>Suggested</w:t>
      </w:r>
      <w:r w:rsidRPr="006C1CE6">
        <w:rPr>
          <w:sz w:val="22"/>
          <w:szCs w:val="22"/>
        </w:rPr>
        <w:t xml:space="preserve"> format: </w:t>
      </w:r>
      <w:r w:rsidR="006C1CE6">
        <w:rPr>
          <w:sz w:val="22"/>
          <w:szCs w:val="22"/>
        </w:rPr>
        <w:t>“</w:t>
      </w:r>
      <w:r w:rsidRPr="006C1CE6">
        <w:rPr>
          <w:sz w:val="22"/>
          <w:szCs w:val="22"/>
        </w:rPr>
        <w:t xml:space="preserve">My name is **, it’s pronounced **, </w:t>
      </w:r>
      <w:r w:rsidR="00995D66">
        <w:rPr>
          <w:sz w:val="22"/>
          <w:szCs w:val="22"/>
        </w:rPr>
        <w:t>my pronouns are</w:t>
      </w:r>
      <w:r w:rsidRPr="006C1CE6">
        <w:rPr>
          <w:sz w:val="22"/>
          <w:szCs w:val="22"/>
        </w:rPr>
        <w:t xml:space="preserve"> **.</w:t>
      </w:r>
      <w:r w:rsidR="006C1CE6">
        <w:rPr>
          <w:sz w:val="22"/>
          <w:szCs w:val="22"/>
        </w:rPr>
        <w:t>”</w:t>
      </w:r>
    </w:p>
    <w:p w14:paraId="6FEB75B8" w14:textId="127A22FE" w:rsidR="009451C0" w:rsidRDefault="00AF3F71" w:rsidP="009451C0">
      <w:pPr>
        <w:pStyle w:val="ListParagraph"/>
        <w:numPr>
          <w:ilvl w:val="0"/>
          <w:numId w:val="16"/>
        </w:numPr>
        <w:rPr>
          <w:sz w:val="22"/>
          <w:szCs w:val="22"/>
        </w:rPr>
      </w:pPr>
      <w:r>
        <w:rPr>
          <w:sz w:val="22"/>
          <w:szCs w:val="22"/>
        </w:rPr>
        <w:t>Avoid</w:t>
      </w:r>
      <w:r w:rsidRPr="00AF3F71">
        <w:rPr>
          <w:sz w:val="22"/>
          <w:szCs w:val="22"/>
        </w:rPr>
        <w:t xml:space="preserve"> mak</w:t>
      </w:r>
      <w:r>
        <w:rPr>
          <w:sz w:val="22"/>
          <w:szCs w:val="22"/>
        </w:rPr>
        <w:t>ing</w:t>
      </w:r>
      <w:r w:rsidRPr="00AF3F71">
        <w:rPr>
          <w:sz w:val="22"/>
          <w:szCs w:val="22"/>
        </w:rPr>
        <w:t xml:space="preserve"> assumptions about </w:t>
      </w:r>
      <w:r w:rsidR="009451C0">
        <w:rPr>
          <w:sz w:val="22"/>
          <w:szCs w:val="22"/>
        </w:rPr>
        <w:t xml:space="preserve">students. </w:t>
      </w:r>
      <w:r w:rsidR="009451C0" w:rsidRPr="00657FAA">
        <w:rPr>
          <w:sz w:val="22"/>
          <w:szCs w:val="22"/>
        </w:rPr>
        <w:t xml:space="preserve"> Allow students to self-identify </w:t>
      </w:r>
      <w:r w:rsidR="009451C0">
        <w:rPr>
          <w:sz w:val="22"/>
          <w:szCs w:val="22"/>
        </w:rPr>
        <w:t xml:space="preserve">their social identities </w:t>
      </w:r>
      <w:r w:rsidR="009451C0" w:rsidRPr="00657FAA">
        <w:rPr>
          <w:sz w:val="22"/>
          <w:szCs w:val="22"/>
        </w:rPr>
        <w:t>when they feel comfortable doing so. Likewise, do not expect individuals to speak for the experience of an entire group; step in if students</w:t>
      </w:r>
      <w:r w:rsidR="009451C0">
        <w:rPr>
          <w:sz w:val="22"/>
          <w:szCs w:val="22"/>
        </w:rPr>
        <w:t xml:space="preserve"> or residents</w:t>
      </w:r>
      <w:r w:rsidR="009451C0" w:rsidRPr="00657FAA">
        <w:rPr>
          <w:sz w:val="22"/>
          <w:szCs w:val="22"/>
        </w:rPr>
        <w:t xml:space="preserve"> have this expectation of their peers.</w:t>
      </w:r>
    </w:p>
    <w:p w14:paraId="7DC5F18E" w14:textId="390425DA" w:rsidR="00695096" w:rsidRPr="00657FAA" w:rsidRDefault="003C7573" w:rsidP="00657FAA">
      <w:pPr>
        <w:pStyle w:val="ListParagraph"/>
        <w:numPr>
          <w:ilvl w:val="0"/>
          <w:numId w:val="15"/>
        </w:numPr>
        <w:rPr>
          <w:u w:val="single"/>
        </w:rPr>
      </w:pPr>
      <w:r>
        <w:rPr>
          <w:sz w:val="22"/>
          <w:szCs w:val="22"/>
        </w:rPr>
        <w:t xml:space="preserve">Make a personal connection with each student – </w:t>
      </w:r>
      <w:r w:rsidR="006C1CE6">
        <w:rPr>
          <w:sz w:val="22"/>
          <w:szCs w:val="22"/>
        </w:rPr>
        <w:t>f</w:t>
      </w:r>
      <w:r>
        <w:rPr>
          <w:sz w:val="22"/>
          <w:szCs w:val="22"/>
        </w:rPr>
        <w:t xml:space="preserve">ind something in common. Common identity formation is an evidence-based way to mitigate bias. </w:t>
      </w:r>
    </w:p>
    <w:p w14:paraId="49879E5F" w14:textId="22FF3FAC" w:rsidR="00657FAA" w:rsidRPr="006C1CE6" w:rsidRDefault="00657FAA" w:rsidP="006C1CE6">
      <w:pPr>
        <w:pStyle w:val="ListParagraph"/>
        <w:numPr>
          <w:ilvl w:val="0"/>
          <w:numId w:val="15"/>
        </w:numPr>
        <w:rPr>
          <w:u w:val="single"/>
        </w:rPr>
      </w:pPr>
      <w:r>
        <w:rPr>
          <w:sz w:val="22"/>
          <w:szCs w:val="22"/>
        </w:rPr>
        <w:t>Let students know right away the roles and responsibilities you expect of them. Some faculty do this by printing a list of expectations; others by showing them the assessment form</w:t>
      </w:r>
      <w:r w:rsidR="00CD2057">
        <w:rPr>
          <w:sz w:val="22"/>
          <w:szCs w:val="22"/>
        </w:rPr>
        <w:t>.</w:t>
      </w:r>
      <w:r w:rsidR="006C1CE6">
        <w:rPr>
          <w:sz w:val="22"/>
          <w:szCs w:val="22"/>
        </w:rPr>
        <w:t xml:space="preserve"> Tell the students that:</w:t>
      </w:r>
    </w:p>
    <w:p w14:paraId="61352B4E" w14:textId="42693AC7" w:rsidR="00657FAA" w:rsidRPr="00657FAA" w:rsidRDefault="00657FAA" w:rsidP="00657FAA">
      <w:pPr>
        <w:pStyle w:val="ListParagraph"/>
        <w:numPr>
          <w:ilvl w:val="1"/>
          <w:numId w:val="15"/>
        </w:numPr>
        <w:rPr>
          <w:u w:val="single"/>
        </w:rPr>
      </w:pPr>
      <w:r>
        <w:rPr>
          <w:sz w:val="22"/>
          <w:szCs w:val="22"/>
        </w:rPr>
        <w:t>All team members have an important role to play</w:t>
      </w:r>
      <w:r w:rsidR="00893813">
        <w:rPr>
          <w:sz w:val="22"/>
          <w:szCs w:val="22"/>
        </w:rPr>
        <w:t xml:space="preserve">; </w:t>
      </w:r>
    </w:p>
    <w:p w14:paraId="042E64B3" w14:textId="5A00A9D3" w:rsidR="00657FAA" w:rsidRPr="00657FAA" w:rsidRDefault="00657FAA" w:rsidP="00657FAA">
      <w:pPr>
        <w:pStyle w:val="ListParagraph"/>
        <w:numPr>
          <w:ilvl w:val="1"/>
          <w:numId w:val="15"/>
        </w:numPr>
        <w:rPr>
          <w:u w:val="single"/>
        </w:rPr>
      </w:pPr>
      <w:r>
        <w:rPr>
          <w:sz w:val="22"/>
          <w:szCs w:val="22"/>
        </w:rPr>
        <w:t>All team members should be given equal opportunities to contribute and succeed</w:t>
      </w:r>
      <w:r w:rsidR="00893813">
        <w:rPr>
          <w:sz w:val="22"/>
          <w:szCs w:val="22"/>
        </w:rPr>
        <w:t xml:space="preserve">; </w:t>
      </w:r>
    </w:p>
    <w:p w14:paraId="32A16464" w14:textId="50C1BF8D" w:rsidR="00657FAA" w:rsidRPr="006C1CE6" w:rsidRDefault="00657FAA" w:rsidP="00657FAA">
      <w:pPr>
        <w:pStyle w:val="ListParagraph"/>
        <w:numPr>
          <w:ilvl w:val="1"/>
          <w:numId w:val="15"/>
        </w:numPr>
        <w:rPr>
          <w:u w:val="single"/>
        </w:rPr>
      </w:pPr>
      <w:r>
        <w:rPr>
          <w:sz w:val="22"/>
          <w:szCs w:val="22"/>
        </w:rPr>
        <w:t>All team members should support one another</w:t>
      </w:r>
      <w:r w:rsidR="00893813">
        <w:rPr>
          <w:sz w:val="22"/>
          <w:szCs w:val="22"/>
        </w:rPr>
        <w:t xml:space="preserve">. </w:t>
      </w:r>
    </w:p>
    <w:p w14:paraId="33DE701F" w14:textId="6C6E7D40" w:rsidR="003C7573" w:rsidRDefault="003C7573" w:rsidP="003C7573">
      <w:pPr>
        <w:rPr>
          <w:u w:val="single"/>
        </w:rPr>
      </w:pPr>
    </w:p>
    <w:p w14:paraId="0AB65246" w14:textId="365B0A17" w:rsidR="00657FAA" w:rsidRDefault="00657FAA" w:rsidP="00657FAA">
      <w:pPr>
        <w:rPr>
          <w:b/>
          <w:bCs/>
          <w:u w:val="single"/>
        </w:rPr>
      </w:pPr>
      <w:r>
        <w:rPr>
          <w:b/>
          <w:bCs/>
          <w:u w:val="single"/>
        </w:rPr>
        <w:t xml:space="preserve">Key Point #2: </w:t>
      </w:r>
      <w:r w:rsidR="00995D66">
        <w:rPr>
          <w:b/>
          <w:bCs/>
          <w:u w:val="single"/>
        </w:rPr>
        <w:t>T</w:t>
      </w:r>
      <w:r>
        <w:rPr>
          <w:b/>
          <w:bCs/>
          <w:u w:val="single"/>
        </w:rPr>
        <w:t>reat each student as an individual.</w:t>
      </w:r>
    </w:p>
    <w:p w14:paraId="7F342AAC" w14:textId="66A635DA" w:rsidR="00A045FA" w:rsidRDefault="00A045FA" w:rsidP="00A045FA">
      <w:pPr>
        <w:pStyle w:val="ListParagraph"/>
        <w:numPr>
          <w:ilvl w:val="0"/>
          <w:numId w:val="16"/>
        </w:numPr>
        <w:rPr>
          <w:sz w:val="22"/>
          <w:szCs w:val="22"/>
        </w:rPr>
      </w:pPr>
      <w:r w:rsidRPr="00A045FA">
        <w:rPr>
          <w:sz w:val="22"/>
          <w:szCs w:val="22"/>
        </w:rPr>
        <w:t>Be aware of your own stereotypes</w:t>
      </w:r>
      <w:r w:rsidR="00872868">
        <w:rPr>
          <w:sz w:val="22"/>
          <w:szCs w:val="22"/>
        </w:rPr>
        <w:t xml:space="preserve"> and biases</w:t>
      </w:r>
      <w:r w:rsidRPr="00A045FA">
        <w:rPr>
          <w:sz w:val="22"/>
          <w:szCs w:val="22"/>
        </w:rPr>
        <w:t xml:space="preserve"> a</w:t>
      </w:r>
      <w:proofErr w:type="spellStart"/>
      <w:r w:rsidRPr="00A045FA">
        <w:rPr>
          <w:sz w:val="22"/>
          <w:szCs w:val="22"/>
        </w:rPr>
        <w:t>nd</w:t>
      </w:r>
      <w:proofErr w:type="spellEnd"/>
      <w:r w:rsidRPr="00A045FA">
        <w:rPr>
          <w:sz w:val="22"/>
          <w:szCs w:val="22"/>
        </w:rPr>
        <w:t xml:space="preserve"> how they may </w:t>
      </w:r>
      <w:r w:rsidR="00872868">
        <w:rPr>
          <w:sz w:val="22"/>
          <w:szCs w:val="22"/>
        </w:rPr>
        <w:t>impact</w:t>
      </w:r>
      <w:r w:rsidRPr="00A045FA">
        <w:rPr>
          <w:sz w:val="22"/>
          <w:szCs w:val="22"/>
        </w:rPr>
        <w:t xml:space="preserve"> your interactions with team members. </w:t>
      </w:r>
      <w:hyperlink r:id="rId6" w:history="1">
        <w:r w:rsidRPr="00A045FA">
          <w:rPr>
            <w:rStyle w:val="Hyperlink"/>
            <w:sz w:val="22"/>
            <w:szCs w:val="22"/>
          </w:rPr>
          <w:t>Take an Implicit Association Test</w:t>
        </w:r>
      </w:hyperlink>
      <w:r w:rsidRPr="00A045FA">
        <w:rPr>
          <w:sz w:val="22"/>
          <w:szCs w:val="22"/>
        </w:rPr>
        <w:t xml:space="preserve"> to learn more</w:t>
      </w:r>
      <w:r w:rsidR="006C1CE6">
        <w:rPr>
          <w:sz w:val="22"/>
          <w:szCs w:val="22"/>
        </w:rPr>
        <w:t>.</w:t>
      </w:r>
    </w:p>
    <w:p w14:paraId="251A4882" w14:textId="580CC3BE" w:rsidR="00657FAA" w:rsidRDefault="00657FAA" w:rsidP="00657FAA">
      <w:pPr>
        <w:pStyle w:val="ListParagraph"/>
        <w:numPr>
          <w:ilvl w:val="0"/>
          <w:numId w:val="16"/>
        </w:numPr>
        <w:rPr>
          <w:sz w:val="22"/>
          <w:szCs w:val="22"/>
        </w:rPr>
      </w:pPr>
      <w:r>
        <w:rPr>
          <w:sz w:val="22"/>
          <w:szCs w:val="22"/>
        </w:rPr>
        <w:t>When teaching, c</w:t>
      </w:r>
      <w:r w:rsidRPr="00657FAA">
        <w:rPr>
          <w:sz w:val="22"/>
          <w:szCs w:val="22"/>
        </w:rPr>
        <w:t>all on all students equally.</w:t>
      </w:r>
      <w:r>
        <w:rPr>
          <w:sz w:val="22"/>
          <w:szCs w:val="22"/>
        </w:rPr>
        <w:t xml:space="preserve"> </w:t>
      </w:r>
      <w:r w:rsidRPr="00657FAA">
        <w:rPr>
          <w:sz w:val="22"/>
          <w:szCs w:val="22"/>
        </w:rPr>
        <w:t>Convey the same level of confidence in the abilities of all your students.</w:t>
      </w:r>
    </w:p>
    <w:p w14:paraId="7CBE32C7" w14:textId="757FD893" w:rsidR="00657FAA" w:rsidRPr="00657FAA" w:rsidRDefault="00657FAA" w:rsidP="00657FAA">
      <w:pPr>
        <w:pStyle w:val="ListParagraph"/>
        <w:numPr>
          <w:ilvl w:val="0"/>
          <w:numId w:val="16"/>
        </w:numPr>
        <w:rPr>
          <w:sz w:val="22"/>
          <w:szCs w:val="22"/>
        </w:rPr>
      </w:pPr>
      <w:r w:rsidRPr="0012592E">
        <w:rPr>
          <w:sz w:val="22"/>
          <w:szCs w:val="22"/>
        </w:rPr>
        <w:t>Be even-handed in acknowledging students’ accomplishments and areas for growth. Emphasize high standards with verbal assurances that you will help them succeed</w:t>
      </w:r>
      <w:r>
        <w:rPr>
          <w:sz w:val="22"/>
          <w:szCs w:val="22"/>
        </w:rPr>
        <w:t xml:space="preserve">. </w:t>
      </w:r>
    </w:p>
    <w:p w14:paraId="59024D5E" w14:textId="2920CDDF" w:rsidR="00657FAA" w:rsidRPr="00657FAA" w:rsidRDefault="00657FAA" w:rsidP="00ED101F">
      <w:pPr>
        <w:pStyle w:val="ListParagraph"/>
        <w:numPr>
          <w:ilvl w:val="0"/>
          <w:numId w:val="16"/>
        </w:numPr>
      </w:pPr>
      <w:r w:rsidRPr="00657FAA">
        <w:rPr>
          <w:sz w:val="22"/>
          <w:szCs w:val="22"/>
        </w:rPr>
        <w:t xml:space="preserve">When interacting with students, </w:t>
      </w:r>
      <w:r w:rsidRPr="00657FAA">
        <w:rPr>
          <w:rFonts w:eastAsia="Times New Roman" w:cs="Times New Roman"/>
          <w:sz w:val="22"/>
          <w:szCs w:val="22"/>
        </w:rPr>
        <w:t xml:space="preserve">avoid making assumptions about students’ abilities based on stereotypes. </w:t>
      </w:r>
      <w:r>
        <w:rPr>
          <w:rFonts w:eastAsia="Times New Roman" w:cs="Times New Roman"/>
          <w:sz w:val="22"/>
          <w:szCs w:val="22"/>
        </w:rPr>
        <w:t>F</w:t>
      </w:r>
      <w:r w:rsidRPr="00657FAA">
        <w:rPr>
          <w:sz w:val="22"/>
          <w:szCs w:val="22"/>
        </w:rPr>
        <w:t>or example, “I’m offering a special tutorial because I know women struggle with math.</w:t>
      </w:r>
      <w:r>
        <w:rPr>
          <w:sz w:val="22"/>
          <w:szCs w:val="22"/>
        </w:rPr>
        <w:t>”</w:t>
      </w:r>
      <w:r w:rsidRPr="00657FAA">
        <w:rPr>
          <w:sz w:val="22"/>
          <w:szCs w:val="22"/>
        </w:rPr>
        <w:t xml:space="preserve"> Instead, focus on behavioral and controllable actions (for example, “I’ll find you in the team room this afternoon, so we can practice that presentation again”). </w:t>
      </w:r>
    </w:p>
    <w:p w14:paraId="2A9609CA" w14:textId="383A6876" w:rsidR="00657FAA" w:rsidRDefault="00657FAA" w:rsidP="004F2D60">
      <w:pPr>
        <w:rPr>
          <w:sz w:val="22"/>
          <w:szCs w:val="22"/>
        </w:rPr>
      </w:pPr>
    </w:p>
    <w:p w14:paraId="41C3EDBD" w14:textId="2EED7102" w:rsidR="004F2D60" w:rsidRDefault="004F2D60" w:rsidP="004F2D60">
      <w:pPr>
        <w:rPr>
          <w:b/>
          <w:bCs/>
          <w:u w:val="single"/>
        </w:rPr>
      </w:pPr>
      <w:r>
        <w:rPr>
          <w:b/>
          <w:bCs/>
          <w:u w:val="single"/>
        </w:rPr>
        <w:t xml:space="preserve">Key Point #3: </w:t>
      </w:r>
      <w:r w:rsidR="00A045FA">
        <w:rPr>
          <w:b/>
          <w:bCs/>
          <w:u w:val="single"/>
        </w:rPr>
        <w:t>Address challenging moments head-on</w:t>
      </w:r>
      <w:r>
        <w:rPr>
          <w:b/>
          <w:bCs/>
          <w:u w:val="single"/>
        </w:rPr>
        <w:t>.</w:t>
      </w:r>
    </w:p>
    <w:p w14:paraId="27582439" w14:textId="399BFF75" w:rsidR="00A045FA" w:rsidRDefault="00A045FA" w:rsidP="0036042B">
      <w:pPr>
        <w:pStyle w:val="ListParagraph"/>
        <w:numPr>
          <w:ilvl w:val="0"/>
          <w:numId w:val="18"/>
        </w:numPr>
        <w:rPr>
          <w:sz w:val="22"/>
          <w:szCs w:val="22"/>
        </w:rPr>
      </w:pPr>
      <w:r>
        <w:rPr>
          <w:sz w:val="22"/>
          <w:szCs w:val="22"/>
        </w:rPr>
        <w:t xml:space="preserve">Students and residents will pay particular attention to how </w:t>
      </w:r>
      <w:r w:rsidRPr="00A045FA">
        <w:rPr>
          <w:sz w:val="22"/>
          <w:szCs w:val="22"/>
          <w:u w:val="single"/>
        </w:rPr>
        <w:t>you</w:t>
      </w:r>
      <w:r>
        <w:rPr>
          <w:sz w:val="22"/>
          <w:szCs w:val="22"/>
        </w:rPr>
        <w:t xml:space="preserve"> handle situations of micro- and macroaggressions based on race, color, religion, sex, sexuality, and other factors. </w:t>
      </w:r>
    </w:p>
    <w:p w14:paraId="1DE87677" w14:textId="148C09C5" w:rsidR="00657FAA" w:rsidRDefault="00A045FA" w:rsidP="00A045FA">
      <w:pPr>
        <w:pStyle w:val="ListParagraph"/>
        <w:numPr>
          <w:ilvl w:val="0"/>
          <w:numId w:val="18"/>
        </w:numPr>
        <w:rPr>
          <w:sz w:val="22"/>
          <w:szCs w:val="22"/>
        </w:rPr>
      </w:pPr>
      <w:r>
        <w:rPr>
          <w:sz w:val="22"/>
          <w:szCs w:val="22"/>
        </w:rPr>
        <w:t xml:space="preserve">Pay close attention to any situation where these might have occurred. The perpetrator may be a patient, staff member, colleague, or a teammate. </w:t>
      </w:r>
      <w:r w:rsidR="005D3ACA">
        <w:rPr>
          <w:sz w:val="22"/>
          <w:szCs w:val="22"/>
        </w:rPr>
        <w:t xml:space="preserve">Below are some detailed examples of microaggressions and tools/strategies to mitigate them. </w:t>
      </w:r>
    </w:p>
    <w:p w14:paraId="5B5F83BC" w14:textId="4C3C0B11" w:rsidR="00D872B3" w:rsidRDefault="00D872B3" w:rsidP="006C1CE6">
      <w:pPr>
        <w:pStyle w:val="ListParagraph"/>
        <w:numPr>
          <w:ilvl w:val="1"/>
          <w:numId w:val="18"/>
        </w:numPr>
        <w:rPr>
          <w:sz w:val="22"/>
          <w:szCs w:val="22"/>
        </w:rPr>
      </w:pPr>
      <w:r>
        <w:rPr>
          <w:sz w:val="22"/>
          <w:szCs w:val="22"/>
        </w:rPr>
        <w:t xml:space="preserve">The most challenging instances for students are often when microaggressions go unrecognized. You must be vigilant. Your inaction may compound the negative impact of the microaggression and make you complicit. </w:t>
      </w:r>
    </w:p>
    <w:p w14:paraId="1011E881" w14:textId="4D0E71F0" w:rsidR="00A045FA" w:rsidRPr="006C1CE6" w:rsidRDefault="00A045FA" w:rsidP="00A045FA">
      <w:pPr>
        <w:pStyle w:val="ListParagraph"/>
        <w:numPr>
          <w:ilvl w:val="0"/>
          <w:numId w:val="18"/>
        </w:numPr>
        <w:rPr>
          <w:sz w:val="22"/>
          <w:szCs w:val="22"/>
        </w:rPr>
      </w:pPr>
      <w:r>
        <w:rPr>
          <w:rFonts w:eastAsia="Times New Roman" w:cs="Times New Roman"/>
          <w:sz w:val="22"/>
          <w:szCs w:val="22"/>
        </w:rPr>
        <w:lastRenderedPageBreak/>
        <w:t xml:space="preserve">When you observe a micro- or macroaggression happen to a student, </w:t>
      </w:r>
      <w:r w:rsidRPr="00A045FA">
        <w:rPr>
          <w:rFonts w:eastAsia="Times New Roman" w:cs="Times New Roman"/>
          <w:b/>
          <w:bCs/>
          <w:sz w:val="22"/>
          <w:szCs w:val="22"/>
        </w:rPr>
        <w:t>make a point to step in and say something</w:t>
      </w:r>
      <w:r>
        <w:rPr>
          <w:rFonts w:eastAsia="Times New Roman" w:cs="Times New Roman"/>
          <w:sz w:val="22"/>
          <w:szCs w:val="22"/>
        </w:rPr>
        <w:t>. One way to quickly and effectively diffuse a situation is to as</w:t>
      </w:r>
      <w:r w:rsidR="00F7686A">
        <w:rPr>
          <w:rFonts w:eastAsia="Times New Roman" w:cs="Times New Roman"/>
          <w:sz w:val="22"/>
          <w:szCs w:val="22"/>
        </w:rPr>
        <w:t>k, “What did you mean by that?”</w:t>
      </w:r>
      <w:r>
        <w:rPr>
          <w:rFonts w:eastAsia="Times New Roman" w:cs="Times New Roman"/>
          <w:sz w:val="22"/>
          <w:szCs w:val="22"/>
        </w:rPr>
        <w:t xml:space="preserve"> Often the person left to explain themselves will backtrack from their original stated position. </w:t>
      </w:r>
    </w:p>
    <w:p w14:paraId="3E35F5A1" w14:textId="470021A4" w:rsidR="00B42211" w:rsidRPr="00A045FA" w:rsidRDefault="00B42211" w:rsidP="00A045FA">
      <w:pPr>
        <w:pStyle w:val="ListParagraph"/>
        <w:numPr>
          <w:ilvl w:val="0"/>
          <w:numId w:val="18"/>
        </w:numPr>
        <w:rPr>
          <w:sz w:val="22"/>
          <w:szCs w:val="22"/>
        </w:rPr>
      </w:pPr>
      <w:r>
        <w:rPr>
          <w:rFonts w:eastAsia="Times New Roman" w:cs="Times New Roman"/>
          <w:sz w:val="22"/>
          <w:szCs w:val="22"/>
        </w:rPr>
        <w:t xml:space="preserve">There is an NM Policy regarding patient behaviors, which states that racism and other forms of discrimination is not </w:t>
      </w:r>
      <w:r w:rsidR="0050621B">
        <w:rPr>
          <w:rFonts w:eastAsia="Times New Roman" w:cs="Times New Roman"/>
          <w:sz w:val="22"/>
          <w:szCs w:val="22"/>
        </w:rPr>
        <w:t>tolerated</w:t>
      </w:r>
      <w:r>
        <w:rPr>
          <w:rFonts w:eastAsia="Times New Roman" w:cs="Times New Roman"/>
          <w:sz w:val="22"/>
          <w:szCs w:val="22"/>
        </w:rPr>
        <w:t xml:space="preserve">. </w:t>
      </w:r>
    </w:p>
    <w:p w14:paraId="22F4B67B" w14:textId="77777777" w:rsidR="00B42211" w:rsidRPr="006C1CE6" w:rsidRDefault="00A045FA" w:rsidP="00A045FA">
      <w:pPr>
        <w:numPr>
          <w:ilvl w:val="0"/>
          <w:numId w:val="18"/>
        </w:numPr>
        <w:spacing w:before="100" w:beforeAutospacing="1" w:after="100" w:afterAutospacing="1"/>
        <w:rPr>
          <w:rFonts w:eastAsia="Times New Roman" w:cs="Times New Roman"/>
        </w:rPr>
      </w:pPr>
      <w:r w:rsidRPr="0012592E">
        <w:rPr>
          <w:rFonts w:eastAsia="Times New Roman" w:cs="Times New Roman"/>
          <w:sz w:val="22"/>
          <w:szCs w:val="22"/>
        </w:rPr>
        <w:t xml:space="preserve">Take responsibility </w:t>
      </w:r>
      <w:r>
        <w:rPr>
          <w:rFonts w:eastAsia="Times New Roman" w:cs="Times New Roman"/>
          <w:sz w:val="22"/>
          <w:szCs w:val="22"/>
        </w:rPr>
        <w:t>to debrief about these challenging clinical moments</w:t>
      </w:r>
      <w:r w:rsidRPr="0012592E">
        <w:rPr>
          <w:rFonts w:eastAsia="Times New Roman" w:cs="Times New Roman"/>
          <w:sz w:val="22"/>
          <w:szCs w:val="22"/>
        </w:rPr>
        <w:t xml:space="preserve">. Work to turn difficult moments into teachable moments, asking students to stop and reflect critically on assumptions and positions. </w:t>
      </w:r>
    </w:p>
    <w:p w14:paraId="22B14B87" w14:textId="77777777" w:rsidR="00B42211" w:rsidRPr="006C1CE6" w:rsidRDefault="00B42211" w:rsidP="00B42211">
      <w:pPr>
        <w:numPr>
          <w:ilvl w:val="1"/>
          <w:numId w:val="18"/>
        </w:numPr>
        <w:spacing w:before="100" w:beforeAutospacing="1" w:after="100" w:afterAutospacing="1"/>
        <w:rPr>
          <w:rFonts w:eastAsia="Times New Roman" w:cs="Times New Roman"/>
        </w:rPr>
      </w:pPr>
      <w:r>
        <w:rPr>
          <w:rFonts w:eastAsia="Times New Roman" w:cs="Times New Roman"/>
          <w:sz w:val="22"/>
          <w:szCs w:val="22"/>
        </w:rPr>
        <w:t xml:space="preserve">These moments may be more impactful to students than you realize. </w:t>
      </w:r>
    </w:p>
    <w:p w14:paraId="14642121" w14:textId="7DE2926C" w:rsidR="00A045FA" w:rsidRPr="005D3ACA" w:rsidRDefault="00A045FA" w:rsidP="006C1CE6">
      <w:pPr>
        <w:numPr>
          <w:ilvl w:val="1"/>
          <w:numId w:val="18"/>
        </w:numPr>
        <w:spacing w:before="100" w:beforeAutospacing="1" w:after="100" w:afterAutospacing="1"/>
        <w:rPr>
          <w:rFonts w:eastAsia="Times New Roman" w:cs="Times New Roman"/>
        </w:rPr>
      </w:pPr>
      <w:r w:rsidRPr="0012592E">
        <w:rPr>
          <w:rFonts w:eastAsia="Times New Roman" w:cs="Times New Roman"/>
          <w:sz w:val="22"/>
          <w:szCs w:val="22"/>
        </w:rPr>
        <w:t xml:space="preserve">When such moments occur, be sure to give adequate time and space to name and discuss the </w:t>
      </w:r>
      <w:r w:rsidR="00B42211">
        <w:rPr>
          <w:rFonts w:eastAsia="Times New Roman" w:cs="Times New Roman"/>
          <w:sz w:val="22"/>
          <w:szCs w:val="22"/>
        </w:rPr>
        <w:t>students’ responses and feelings</w:t>
      </w:r>
      <w:r w:rsidRPr="0012592E">
        <w:rPr>
          <w:rFonts w:eastAsia="Times New Roman" w:cs="Times New Roman"/>
          <w:sz w:val="22"/>
          <w:szCs w:val="22"/>
        </w:rPr>
        <w:t xml:space="preserve">. </w:t>
      </w:r>
    </w:p>
    <w:p w14:paraId="24887CC5" w14:textId="21A4FE16" w:rsidR="005D3ACA" w:rsidRPr="006C1CE6" w:rsidRDefault="00F7686A" w:rsidP="005D3ACA">
      <w:pPr>
        <w:pStyle w:val="ListParagraph"/>
        <w:numPr>
          <w:ilvl w:val="0"/>
          <w:numId w:val="18"/>
        </w:numPr>
        <w:rPr>
          <w:sz w:val="22"/>
          <w:szCs w:val="22"/>
        </w:rPr>
      </w:pPr>
      <w:r>
        <w:rPr>
          <w:rFonts w:eastAsia="Times New Roman" w:cs="Times New Roman"/>
          <w:sz w:val="22"/>
          <w:szCs w:val="22"/>
        </w:rPr>
        <w:t xml:space="preserve">If </w:t>
      </w:r>
      <w:r w:rsidR="005D3ACA" w:rsidRPr="0012592E">
        <w:rPr>
          <w:rFonts w:eastAsia="Times New Roman" w:cs="Times New Roman"/>
          <w:sz w:val="22"/>
          <w:szCs w:val="22"/>
        </w:rPr>
        <w:t>difficult moments occur</w:t>
      </w:r>
      <w:r w:rsidR="005D3ACA">
        <w:rPr>
          <w:rFonts w:eastAsia="Times New Roman" w:cs="Times New Roman"/>
          <w:sz w:val="22"/>
          <w:szCs w:val="22"/>
        </w:rPr>
        <w:t xml:space="preserve"> </w:t>
      </w:r>
      <w:r>
        <w:rPr>
          <w:rFonts w:eastAsia="Times New Roman" w:cs="Times New Roman"/>
          <w:sz w:val="22"/>
          <w:szCs w:val="22"/>
        </w:rPr>
        <w:t>among</w:t>
      </w:r>
      <w:r w:rsidR="005D3ACA">
        <w:rPr>
          <w:rFonts w:eastAsia="Times New Roman" w:cs="Times New Roman"/>
          <w:sz w:val="22"/>
          <w:szCs w:val="22"/>
        </w:rPr>
        <w:t xml:space="preserve"> the team</w:t>
      </w:r>
      <w:r w:rsidR="005D3ACA" w:rsidRPr="0012592E">
        <w:rPr>
          <w:rFonts w:eastAsia="Times New Roman" w:cs="Times New Roman"/>
          <w:sz w:val="22"/>
          <w:szCs w:val="22"/>
        </w:rPr>
        <w:t>, prompt students</w:t>
      </w:r>
      <w:r w:rsidR="005D3ACA">
        <w:rPr>
          <w:rFonts w:eastAsia="Times New Roman" w:cs="Times New Roman"/>
          <w:sz w:val="22"/>
          <w:szCs w:val="22"/>
        </w:rPr>
        <w:t xml:space="preserve"> and the team</w:t>
      </w:r>
      <w:r w:rsidR="005D3ACA" w:rsidRPr="0012592E">
        <w:rPr>
          <w:rFonts w:eastAsia="Times New Roman" w:cs="Times New Roman"/>
          <w:sz w:val="22"/>
          <w:szCs w:val="22"/>
        </w:rPr>
        <w:t xml:space="preserve"> to keep discussions focused on issues or comments, not individuals. Do not attribute motives or intentions behind the person voicing or committing the offensive or alienating act—rather, focus on the comment, behavior, or attitude itself, and acknowledge the effect it has on others. Ask students to use “I” statements when discussing difficult issues (for example, “I think that comment minimizes the issue,” or “I feel hurt by that line of thought, and here’s why...”), which can help to build and maintain a healthy student rapport.</w:t>
      </w:r>
    </w:p>
    <w:p w14:paraId="51B4573A" w14:textId="4F4E1783" w:rsidR="00B42211" w:rsidRPr="006C1CE6" w:rsidRDefault="00B42211" w:rsidP="006C1CE6">
      <w:pPr>
        <w:rPr>
          <w:sz w:val="22"/>
          <w:szCs w:val="22"/>
        </w:rPr>
      </w:pPr>
    </w:p>
    <w:p w14:paraId="010F2BDB" w14:textId="77777777" w:rsidR="005D3ACA" w:rsidRPr="005D3ACA" w:rsidRDefault="005D3ACA" w:rsidP="005D3ACA">
      <w:pPr>
        <w:ind w:left="360"/>
        <w:rPr>
          <w:sz w:val="22"/>
          <w:szCs w:val="22"/>
        </w:rPr>
      </w:pPr>
    </w:p>
    <w:p w14:paraId="3610E231" w14:textId="3A32AD6D" w:rsidR="00AF7B34" w:rsidRDefault="00AF7B34" w:rsidP="00A045FA">
      <w:pPr>
        <w:rPr>
          <w:b/>
          <w:bCs/>
          <w:u w:val="single"/>
        </w:rPr>
      </w:pPr>
      <w:r>
        <w:rPr>
          <w:b/>
          <w:bCs/>
          <w:u w:val="single"/>
        </w:rPr>
        <w:t>Key Point #4: Give and receive feedback respectfully.</w:t>
      </w:r>
    </w:p>
    <w:p w14:paraId="535E4DAF" w14:textId="7818280D" w:rsidR="00AF7B34" w:rsidRDefault="00AF7B34" w:rsidP="00AF7B34">
      <w:pPr>
        <w:pStyle w:val="ListParagraph"/>
        <w:numPr>
          <w:ilvl w:val="0"/>
          <w:numId w:val="20"/>
        </w:numPr>
        <w:rPr>
          <w:bCs/>
          <w:sz w:val="22"/>
          <w:szCs w:val="22"/>
        </w:rPr>
      </w:pPr>
      <w:r>
        <w:rPr>
          <w:bCs/>
          <w:sz w:val="22"/>
          <w:szCs w:val="22"/>
        </w:rPr>
        <w:t>F</w:t>
      </w:r>
      <w:r w:rsidRPr="00AF7B34">
        <w:rPr>
          <w:bCs/>
          <w:sz w:val="22"/>
          <w:szCs w:val="22"/>
        </w:rPr>
        <w:t xml:space="preserve">eedback </w:t>
      </w:r>
      <w:r>
        <w:rPr>
          <w:bCs/>
          <w:sz w:val="22"/>
          <w:szCs w:val="22"/>
        </w:rPr>
        <w:t>can be highly emotional; students may have a heightened sense of being judged/stereotyped based on their unique characteristics.</w:t>
      </w:r>
    </w:p>
    <w:p w14:paraId="0F8D807F" w14:textId="24B08FE1" w:rsidR="00984EC4" w:rsidRDefault="00984EC4" w:rsidP="00AF7B34">
      <w:pPr>
        <w:pStyle w:val="ListParagraph"/>
        <w:numPr>
          <w:ilvl w:val="0"/>
          <w:numId w:val="20"/>
        </w:numPr>
        <w:rPr>
          <w:bCs/>
          <w:sz w:val="22"/>
          <w:szCs w:val="22"/>
        </w:rPr>
      </w:pPr>
      <w:r>
        <w:rPr>
          <w:bCs/>
          <w:sz w:val="22"/>
          <w:szCs w:val="22"/>
        </w:rPr>
        <w:t xml:space="preserve">Direct observation of clinical skills can give you specific feedback points that do not make assumptions / are nonjudgmental. </w:t>
      </w:r>
      <w:r w:rsidR="00B20C1E">
        <w:rPr>
          <w:bCs/>
          <w:sz w:val="22"/>
          <w:szCs w:val="22"/>
        </w:rPr>
        <w:t xml:space="preserve">There is evidence that direct observation reduces bias. </w:t>
      </w:r>
    </w:p>
    <w:p w14:paraId="50D7EF9A" w14:textId="2496A674" w:rsidR="00AF7B34" w:rsidRDefault="00AF7B34" w:rsidP="00AF7B34">
      <w:pPr>
        <w:pStyle w:val="ListParagraph"/>
        <w:numPr>
          <w:ilvl w:val="0"/>
          <w:numId w:val="20"/>
        </w:numPr>
        <w:rPr>
          <w:bCs/>
          <w:sz w:val="22"/>
          <w:szCs w:val="22"/>
        </w:rPr>
      </w:pPr>
      <w:r>
        <w:rPr>
          <w:bCs/>
          <w:sz w:val="22"/>
          <w:szCs w:val="22"/>
        </w:rPr>
        <w:t xml:space="preserve">Never focus a feedback session around a student’s </w:t>
      </w:r>
      <w:r w:rsidR="00B20C1E">
        <w:rPr>
          <w:bCs/>
          <w:sz w:val="22"/>
          <w:szCs w:val="22"/>
        </w:rPr>
        <w:t xml:space="preserve">identity, including </w:t>
      </w:r>
      <w:r>
        <w:rPr>
          <w:bCs/>
          <w:sz w:val="22"/>
          <w:szCs w:val="22"/>
        </w:rPr>
        <w:t xml:space="preserve">race, gender, sexual orientation, disability, MD/PhD status, or other unique characteristics. </w:t>
      </w:r>
    </w:p>
    <w:p w14:paraId="4C08EB9E" w14:textId="7BB92375" w:rsidR="00893813" w:rsidRDefault="00893813" w:rsidP="00AF7B34">
      <w:pPr>
        <w:pStyle w:val="ListParagraph"/>
        <w:numPr>
          <w:ilvl w:val="0"/>
          <w:numId w:val="20"/>
        </w:numPr>
        <w:rPr>
          <w:bCs/>
          <w:sz w:val="22"/>
          <w:szCs w:val="22"/>
        </w:rPr>
      </w:pPr>
      <w:r>
        <w:rPr>
          <w:bCs/>
          <w:sz w:val="22"/>
          <w:szCs w:val="22"/>
        </w:rPr>
        <w:t xml:space="preserve">Focus feedback around behaviors, not personality. </w:t>
      </w:r>
    </w:p>
    <w:p w14:paraId="673F1FF0" w14:textId="7929A2AE" w:rsidR="00893813" w:rsidRDefault="00893813" w:rsidP="00893813">
      <w:pPr>
        <w:pStyle w:val="ListParagraph"/>
        <w:numPr>
          <w:ilvl w:val="1"/>
          <w:numId w:val="20"/>
        </w:numPr>
        <w:rPr>
          <w:bCs/>
          <w:sz w:val="22"/>
          <w:szCs w:val="22"/>
        </w:rPr>
      </w:pPr>
      <w:r>
        <w:rPr>
          <w:bCs/>
          <w:sz w:val="22"/>
          <w:szCs w:val="22"/>
        </w:rPr>
        <w:t>Say this: “In your presentations, I noticed that your plans were sometimes nonspecific</w:t>
      </w:r>
      <w:r w:rsidR="00FB7A82">
        <w:rPr>
          <w:bCs/>
          <w:sz w:val="22"/>
          <w:szCs w:val="22"/>
        </w:rPr>
        <w:t>.</w:t>
      </w:r>
      <w:r>
        <w:rPr>
          <w:bCs/>
          <w:sz w:val="22"/>
          <w:szCs w:val="22"/>
        </w:rPr>
        <w:t>”</w:t>
      </w:r>
    </w:p>
    <w:p w14:paraId="1A5FEDF0" w14:textId="0BD5D44F" w:rsidR="00893813" w:rsidRPr="00AF7B34" w:rsidRDefault="00893813" w:rsidP="00893813">
      <w:pPr>
        <w:pStyle w:val="ListParagraph"/>
        <w:numPr>
          <w:ilvl w:val="1"/>
          <w:numId w:val="20"/>
        </w:numPr>
        <w:rPr>
          <w:bCs/>
          <w:sz w:val="22"/>
          <w:szCs w:val="22"/>
        </w:rPr>
      </w:pPr>
      <w:r>
        <w:rPr>
          <w:bCs/>
          <w:sz w:val="22"/>
          <w:szCs w:val="22"/>
        </w:rPr>
        <w:t>NOT this: “You seem shy when presenting plans. Try to be more confident.”</w:t>
      </w:r>
    </w:p>
    <w:p w14:paraId="699DCD77" w14:textId="253E942C" w:rsidR="00A045FA" w:rsidRPr="00A045FA" w:rsidRDefault="00893813" w:rsidP="00A045FA">
      <w:pPr>
        <w:numPr>
          <w:ilvl w:val="0"/>
          <w:numId w:val="19"/>
        </w:numPr>
        <w:spacing w:after="100" w:afterAutospacing="1"/>
        <w:rPr>
          <w:rFonts w:eastAsia="Times New Roman" w:cs="Times New Roman"/>
          <w:sz w:val="22"/>
          <w:szCs w:val="22"/>
        </w:rPr>
      </w:pPr>
      <w:r>
        <w:rPr>
          <w:rFonts w:eastAsia="Times New Roman" w:cs="Times New Roman"/>
          <w:sz w:val="22"/>
          <w:szCs w:val="22"/>
        </w:rPr>
        <w:t xml:space="preserve">Ask for feedback about the learning environment. </w:t>
      </w:r>
      <w:r w:rsidR="00A045FA" w:rsidRPr="00A045FA">
        <w:rPr>
          <w:rFonts w:eastAsia="Times New Roman" w:cs="Times New Roman"/>
          <w:sz w:val="22"/>
          <w:szCs w:val="22"/>
        </w:rPr>
        <w:t xml:space="preserve">This can be done </w:t>
      </w:r>
      <w:r w:rsidR="00A045FA">
        <w:rPr>
          <w:rFonts w:eastAsia="Times New Roman" w:cs="Times New Roman"/>
          <w:sz w:val="22"/>
          <w:szCs w:val="22"/>
        </w:rPr>
        <w:t xml:space="preserve">at any point during your time working with a group. </w:t>
      </w:r>
      <w:r w:rsidR="00A045FA" w:rsidRPr="00A045FA">
        <w:rPr>
          <w:rFonts w:eastAsia="Times New Roman" w:cs="Times New Roman"/>
          <w:sz w:val="22"/>
          <w:szCs w:val="22"/>
        </w:rPr>
        <w:t xml:space="preserve"> </w:t>
      </w:r>
    </w:p>
    <w:p w14:paraId="62EF84A0" w14:textId="321EFB5C" w:rsidR="00A045FA" w:rsidRPr="00A045FA" w:rsidRDefault="00A045FA" w:rsidP="00A045FA">
      <w:pPr>
        <w:numPr>
          <w:ilvl w:val="1"/>
          <w:numId w:val="19"/>
        </w:numPr>
        <w:spacing w:after="100" w:afterAutospacing="1"/>
        <w:rPr>
          <w:rFonts w:eastAsia="Times New Roman" w:cs="Times New Roman"/>
          <w:sz w:val="22"/>
          <w:szCs w:val="22"/>
        </w:rPr>
      </w:pPr>
      <w:r w:rsidRPr="00A045FA">
        <w:rPr>
          <w:rFonts w:eastAsia="Times New Roman" w:cs="Times New Roman"/>
          <w:b/>
          <w:bCs/>
          <w:sz w:val="22"/>
          <w:szCs w:val="22"/>
        </w:rPr>
        <w:t>“</w:t>
      </w:r>
      <w:r w:rsidRPr="00A045FA">
        <w:rPr>
          <w:rFonts w:eastAsia="Times New Roman" w:cs="Times New Roman"/>
          <w:sz w:val="22"/>
          <w:szCs w:val="22"/>
        </w:rPr>
        <w:t xml:space="preserve">What questions or concerns do you have about our group dynamic?” </w:t>
      </w:r>
    </w:p>
    <w:p w14:paraId="702760B7" w14:textId="6CC71BAC" w:rsidR="00A045FA" w:rsidRPr="00A045FA" w:rsidRDefault="00893813" w:rsidP="005D3ACA">
      <w:pPr>
        <w:numPr>
          <w:ilvl w:val="1"/>
          <w:numId w:val="19"/>
        </w:numPr>
        <w:spacing w:before="100" w:beforeAutospacing="1" w:after="100" w:afterAutospacing="1"/>
        <w:rPr>
          <w:rFonts w:eastAsia="Times New Roman" w:cs="Times New Roman"/>
          <w:sz w:val="22"/>
          <w:szCs w:val="22"/>
        </w:rPr>
      </w:pPr>
      <w:r w:rsidRPr="00A045FA">
        <w:rPr>
          <w:rFonts w:eastAsia="Times New Roman" w:cs="Times New Roman"/>
          <w:sz w:val="22"/>
          <w:szCs w:val="22"/>
        </w:rPr>
        <w:t xml:space="preserve"> </w:t>
      </w:r>
      <w:r w:rsidR="00A045FA" w:rsidRPr="00A045FA">
        <w:rPr>
          <w:rFonts w:eastAsia="Times New Roman" w:cs="Times New Roman"/>
          <w:sz w:val="22"/>
          <w:szCs w:val="22"/>
        </w:rPr>
        <w:t xml:space="preserve">“How comfortable do you feel participating in </w:t>
      </w:r>
      <w:r w:rsidR="00A045FA">
        <w:rPr>
          <w:rFonts w:eastAsia="Times New Roman" w:cs="Times New Roman"/>
          <w:sz w:val="22"/>
          <w:szCs w:val="22"/>
        </w:rPr>
        <w:t>our team</w:t>
      </w:r>
      <w:r w:rsidR="00A045FA" w:rsidRPr="00A045FA">
        <w:rPr>
          <w:rFonts w:eastAsia="Times New Roman" w:cs="Times New Roman"/>
          <w:sz w:val="22"/>
          <w:szCs w:val="22"/>
        </w:rPr>
        <w:t xml:space="preserve">?” </w:t>
      </w:r>
    </w:p>
    <w:p w14:paraId="31B64005" w14:textId="4D52D775" w:rsidR="00A045FA" w:rsidRDefault="005D3ACA" w:rsidP="005D3ACA">
      <w:pPr>
        <w:numPr>
          <w:ilvl w:val="1"/>
          <w:numId w:val="19"/>
        </w:numPr>
        <w:spacing w:before="100" w:beforeAutospacing="1" w:after="100" w:afterAutospacing="1"/>
        <w:rPr>
          <w:rFonts w:eastAsia="Times New Roman" w:cs="Times New Roman"/>
          <w:sz w:val="22"/>
          <w:szCs w:val="22"/>
        </w:rPr>
      </w:pPr>
      <w:r>
        <w:rPr>
          <w:rFonts w:eastAsia="Times New Roman" w:cs="Times New Roman"/>
          <w:sz w:val="22"/>
          <w:szCs w:val="22"/>
        </w:rPr>
        <w:t>“</w:t>
      </w:r>
      <w:r w:rsidR="00A045FA" w:rsidRPr="00A045FA">
        <w:rPr>
          <w:rFonts w:eastAsia="Times New Roman" w:cs="Times New Roman"/>
          <w:sz w:val="22"/>
          <w:szCs w:val="22"/>
        </w:rPr>
        <w:t xml:space="preserve">What makes </w:t>
      </w:r>
      <w:r>
        <w:rPr>
          <w:rFonts w:eastAsia="Times New Roman" w:cs="Times New Roman"/>
          <w:sz w:val="22"/>
          <w:szCs w:val="22"/>
        </w:rPr>
        <w:t>this rotation</w:t>
      </w:r>
      <w:r w:rsidR="00A045FA" w:rsidRPr="00A045FA">
        <w:rPr>
          <w:rFonts w:eastAsia="Times New Roman" w:cs="Times New Roman"/>
          <w:sz w:val="22"/>
          <w:szCs w:val="22"/>
        </w:rPr>
        <w:t xml:space="preserve"> easy or difficult for you?</w:t>
      </w:r>
      <w:r>
        <w:rPr>
          <w:rFonts w:eastAsia="Times New Roman" w:cs="Times New Roman"/>
          <w:sz w:val="22"/>
          <w:szCs w:val="22"/>
        </w:rPr>
        <w:t>”</w:t>
      </w:r>
    </w:p>
    <w:p w14:paraId="7E209338" w14:textId="42BCC4E1" w:rsidR="00FB7A82" w:rsidRDefault="00FB7A82" w:rsidP="00FB7A82">
      <w:pPr>
        <w:spacing w:before="100" w:beforeAutospacing="1" w:after="100" w:afterAutospacing="1"/>
        <w:rPr>
          <w:rFonts w:eastAsia="Times New Roman" w:cs="Times New Roman"/>
          <w:sz w:val="22"/>
          <w:szCs w:val="22"/>
        </w:rPr>
      </w:pPr>
    </w:p>
    <w:p w14:paraId="601D83FA" w14:textId="77777777" w:rsidR="005D3ACA" w:rsidRDefault="005D3ACA" w:rsidP="00F16C53">
      <w:pPr>
        <w:pStyle w:val="NormalWeb"/>
        <w:spacing w:before="0" w:beforeAutospacing="0" w:after="0" w:afterAutospacing="0"/>
        <w:rPr>
          <w:rFonts w:ascii="Calibri" w:hAnsi="Calibri" w:cs="Calibri"/>
          <w:b/>
          <w:bCs/>
          <w:color w:val="FF0000"/>
          <w:sz w:val="22"/>
          <w:szCs w:val="22"/>
          <w:u w:val="single"/>
        </w:rPr>
      </w:pPr>
    </w:p>
    <w:p w14:paraId="7440F844" w14:textId="77777777" w:rsidR="005D3ACA" w:rsidRDefault="005D3ACA" w:rsidP="00F16C53">
      <w:pPr>
        <w:pStyle w:val="NormalWeb"/>
        <w:spacing w:before="0" w:beforeAutospacing="0" w:after="0" w:afterAutospacing="0"/>
        <w:rPr>
          <w:rFonts w:ascii="Calibri" w:hAnsi="Calibri" w:cs="Calibri"/>
          <w:b/>
          <w:bCs/>
          <w:color w:val="FF0000"/>
          <w:sz w:val="22"/>
          <w:szCs w:val="22"/>
          <w:u w:val="single"/>
        </w:rPr>
      </w:pPr>
    </w:p>
    <w:p w14:paraId="5FAE8C37" w14:textId="77777777" w:rsidR="00F7686A" w:rsidRDefault="00F7686A" w:rsidP="00F16C53">
      <w:pPr>
        <w:pStyle w:val="NormalWeb"/>
        <w:spacing w:before="0" w:beforeAutospacing="0" w:after="0" w:afterAutospacing="0"/>
        <w:rPr>
          <w:rFonts w:ascii="Calibri" w:hAnsi="Calibri" w:cs="Calibri"/>
          <w:b/>
          <w:bCs/>
          <w:color w:val="FF0000"/>
          <w:sz w:val="22"/>
          <w:szCs w:val="22"/>
          <w:u w:val="single"/>
        </w:rPr>
      </w:pPr>
    </w:p>
    <w:p w14:paraId="4645FC36" w14:textId="77777777" w:rsidR="00F7686A" w:rsidRDefault="00F7686A" w:rsidP="00F16C53">
      <w:pPr>
        <w:pStyle w:val="NormalWeb"/>
        <w:spacing w:before="0" w:beforeAutospacing="0" w:after="0" w:afterAutospacing="0"/>
        <w:rPr>
          <w:rFonts w:ascii="Calibri" w:hAnsi="Calibri" w:cs="Calibri"/>
          <w:b/>
          <w:bCs/>
          <w:color w:val="FF0000"/>
          <w:sz w:val="22"/>
          <w:szCs w:val="22"/>
          <w:u w:val="single"/>
        </w:rPr>
      </w:pPr>
    </w:p>
    <w:p w14:paraId="05E9827B" w14:textId="77777777" w:rsidR="00F7686A" w:rsidRDefault="00F7686A" w:rsidP="00F16C53">
      <w:pPr>
        <w:pStyle w:val="NormalWeb"/>
        <w:spacing w:before="0" w:beforeAutospacing="0" w:after="0" w:afterAutospacing="0"/>
        <w:rPr>
          <w:rFonts w:ascii="Calibri" w:hAnsi="Calibri" w:cs="Calibri"/>
          <w:b/>
          <w:bCs/>
          <w:color w:val="FF0000"/>
          <w:sz w:val="22"/>
          <w:szCs w:val="22"/>
          <w:u w:val="single"/>
        </w:rPr>
      </w:pPr>
    </w:p>
    <w:p w14:paraId="2B1AC997" w14:textId="7E9688C4" w:rsidR="009477E7" w:rsidRPr="00276031" w:rsidRDefault="009477E7" w:rsidP="00276031">
      <w:pPr>
        <w:rPr>
          <w:rFonts w:ascii="Calibri" w:eastAsia="Times New Roman" w:hAnsi="Calibri" w:cs="Calibri"/>
          <w:b/>
          <w:bCs/>
          <w:color w:val="FF0000"/>
          <w:sz w:val="22"/>
          <w:szCs w:val="22"/>
          <w:u w:val="single"/>
        </w:rPr>
      </w:pPr>
    </w:p>
    <w:p w14:paraId="23295534" w14:textId="77777777" w:rsidR="00E65C2E" w:rsidRPr="00E65C2E" w:rsidRDefault="00E65C2E" w:rsidP="00E65C2E">
      <w:pPr>
        <w:pStyle w:val="ListParagraph"/>
        <w:ind w:left="1440"/>
        <w:rPr>
          <w:b/>
          <w:bCs/>
        </w:rPr>
      </w:pPr>
    </w:p>
    <w:sectPr w:rsidR="00E65C2E" w:rsidRPr="00E65C2E" w:rsidSect="0047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33F47"/>
    <w:multiLevelType w:val="hybridMultilevel"/>
    <w:tmpl w:val="B3F8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2036"/>
    <w:multiLevelType w:val="multilevel"/>
    <w:tmpl w:val="BF965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0416"/>
    <w:multiLevelType w:val="multilevel"/>
    <w:tmpl w:val="DAB86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2505"/>
    <w:multiLevelType w:val="hybridMultilevel"/>
    <w:tmpl w:val="BCA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B7E83"/>
    <w:multiLevelType w:val="multilevel"/>
    <w:tmpl w:val="9DAA31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D3A7C"/>
    <w:multiLevelType w:val="multilevel"/>
    <w:tmpl w:val="E6BA3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D7429"/>
    <w:multiLevelType w:val="multilevel"/>
    <w:tmpl w:val="25B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E5D76"/>
    <w:multiLevelType w:val="multilevel"/>
    <w:tmpl w:val="94D2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379F3"/>
    <w:multiLevelType w:val="hybridMultilevel"/>
    <w:tmpl w:val="88C2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C01D5"/>
    <w:multiLevelType w:val="hybridMultilevel"/>
    <w:tmpl w:val="D6A62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C6330"/>
    <w:multiLevelType w:val="multilevel"/>
    <w:tmpl w:val="0742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46679"/>
    <w:multiLevelType w:val="multilevel"/>
    <w:tmpl w:val="D6E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7658C"/>
    <w:multiLevelType w:val="hybridMultilevel"/>
    <w:tmpl w:val="A086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34FCC"/>
    <w:multiLevelType w:val="multilevel"/>
    <w:tmpl w:val="1E7C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99213B"/>
    <w:multiLevelType w:val="hybridMultilevel"/>
    <w:tmpl w:val="10A0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6165F"/>
    <w:multiLevelType w:val="hybridMultilevel"/>
    <w:tmpl w:val="CF60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E5BC0"/>
    <w:multiLevelType w:val="multilevel"/>
    <w:tmpl w:val="39141C0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69292A05"/>
    <w:multiLevelType w:val="multilevel"/>
    <w:tmpl w:val="81D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4D1944"/>
    <w:multiLevelType w:val="hybridMultilevel"/>
    <w:tmpl w:val="D6A2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E7ABE"/>
    <w:multiLevelType w:val="multilevel"/>
    <w:tmpl w:val="50B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16"/>
  </w:num>
  <w:num w:numId="5">
    <w:abstractNumId w:val="19"/>
  </w:num>
  <w:num w:numId="6">
    <w:abstractNumId w:val="5"/>
  </w:num>
  <w:num w:numId="7">
    <w:abstractNumId w:val="12"/>
  </w:num>
  <w:num w:numId="8">
    <w:abstractNumId w:val="2"/>
    <w:lvlOverride w:ilvl="0"/>
  </w:num>
  <w:num w:numId="9">
    <w:abstractNumId w:val="13"/>
    <w:lvlOverride w:ilvl="0"/>
  </w:num>
  <w:num w:numId="10">
    <w:abstractNumId w:val="7"/>
  </w:num>
  <w:num w:numId="11">
    <w:abstractNumId w:val="10"/>
    <w:lvlOverride w:ilvl="0"/>
  </w:num>
  <w:num w:numId="12">
    <w:abstractNumId w:val="1"/>
    <w:lvlOverride w:ilvl="0"/>
  </w:num>
  <w:num w:numId="13">
    <w:abstractNumId w:val="17"/>
  </w:num>
  <w:num w:numId="14">
    <w:abstractNumId w:val="11"/>
  </w:num>
  <w:num w:numId="15">
    <w:abstractNumId w:val="14"/>
  </w:num>
  <w:num w:numId="16">
    <w:abstractNumId w:val="3"/>
  </w:num>
  <w:num w:numId="17">
    <w:abstractNumId w:val="0"/>
  </w:num>
  <w:num w:numId="18">
    <w:abstractNumId w:val="15"/>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2E"/>
    <w:rsid w:val="00016DC5"/>
    <w:rsid w:val="00023E34"/>
    <w:rsid w:val="00276031"/>
    <w:rsid w:val="002979FB"/>
    <w:rsid w:val="003C7573"/>
    <w:rsid w:val="00471230"/>
    <w:rsid w:val="004816F7"/>
    <w:rsid w:val="004F2D60"/>
    <w:rsid w:val="0050621B"/>
    <w:rsid w:val="00541B48"/>
    <w:rsid w:val="005D3ACA"/>
    <w:rsid w:val="005E65E6"/>
    <w:rsid w:val="00657FAA"/>
    <w:rsid w:val="00695096"/>
    <w:rsid w:val="006B5E46"/>
    <w:rsid w:val="006C1CE6"/>
    <w:rsid w:val="00862E7A"/>
    <w:rsid w:val="00872868"/>
    <w:rsid w:val="00893813"/>
    <w:rsid w:val="008F59A8"/>
    <w:rsid w:val="009451C0"/>
    <w:rsid w:val="009477E7"/>
    <w:rsid w:val="00984EC4"/>
    <w:rsid w:val="00995D66"/>
    <w:rsid w:val="009F2C41"/>
    <w:rsid w:val="009F4195"/>
    <w:rsid w:val="009F78DE"/>
    <w:rsid w:val="00A045FA"/>
    <w:rsid w:val="00A0763E"/>
    <w:rsid w:val="00A93325"/>
    <w:rsid w:val="00AF3F71"/>
    <w:rsid w:val="00AF7B34"/>
    <w:rsid w:val="00B20C1E"/>
    <w:rsid w:val="00B24326"/>
    <w:rsid w:val="00B42211"/>
    <w:rsid w:val="00BD5C96"/>
    <w:rsid w:val="00C07949"/>
    <w:rsid w:val="00C7504E"/>
    <w:rsid w:val="00CD2057"/>
    <w:rsid w:val="00D319BE"/>
    <w:rsid w:val="00D872B3"/>
    <w:rsid w:val="00E65C2E"/>
    <w:rsid w:val="00EA1BEF"/>
    <w:rsid w:val="00F16C53"/>
    <w:rsid w:val="00F7686A"/>
    <w:rsid w:val="00FB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4511"/>
  <w15:chartTrackingRefBased/>
  <w15:docId w15:val="{9AE2698E-1182-0244-AE4C-BFA34E9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2E"/>
    <w:pPr>
      <w:ind w:left="720"/>
      <w:contextualSpacing/>
    </w:pPr>
  </w:style>
  <w:style w:type="paragraph" w:styleId="NormalWeb">
    <w:name w:val="Normal (Web)"/>
    <w:basedOn w:val="Normal"/>
    <w:uiPriority w:val="99"/>
    <w:unhideWhenUsed/>
    <w:rsid w:val="00A07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6C53"/>
    <w:rPr>
      <w:color w:val="0000FF"/>
      <w:u w:val="single"/>
    </w:rPr>
  </w:style>
  <w:style w:type="character" w:styleId="FollowedHyperlink">
    <w:name w:val="FollowedHyperlink"/>
    <w:basedOn w:val="DefaultParagraphFont"/>
    <w:uiPriority w:val="99"/>
    <w:semiHidden/>
    <w:unhideWhenUsed/>
    <w:rsid w:val="00F16C53"/>
    <w:rPr>
      <w:color w:val="954F72" w:themeColor="followedHyperlink"/>
      <w:u w:val="single"/>
    </w:rPr>
  </w:style>
  <w:style w:type="character" w:customStyle="1" w:styleId="UnresolvedMention1">
    <w:name w:val="Unresolved Mention1"/>
    <w:basedOn w:val="DefaultParagraphFont"/>
    <w:uiPriority w:val="99"/>
    <w:rsid w:val="00A045FA"/>
    <w:rPr>
      <w:color w:val="605E5C"/>
      <w:shd w:val="clear" w:color="auto" w:fill="E1DFDD"/>
    </w:rPr>
  </w:style>
  <w:style w:type="paragraph" w:styleId="BalloonText">
    <w:name w:val="Balloon Text"/>
    <w:basedOn w:val="Normal"/>
    <w:link w:val="BalloonTextChar"/>
    <w:uiPriority w:val="99"/>
    <w:semiHidden/>
    <w:unhideWhenUsed/>
    <w:rsid w:val="006C1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32000">
      <w:bodyDiv w:val="1"/>
      <w:marLeft w:val="0"/>
      <w:marRight w:val="0"/>
      <w:marTop w:val="0"/>
      <w:marBottom w:val="0"/>
      <w:divBdr>
        <w:top w:val="none" w:sz="0" w:space="0" w:color="auto"/>
        <w:left w:val="none" w:sz="0" w:space="0" w:color="auto"/>
        <w:bottom w:val="none" w:sz="0" w:space="0" w:color="auto"/>
        <w:right w:val="none" w:sz="0" w:space="0" w:color="auto"/>
      </w:divBdr>
    </w:div>
    <w:div w:id="405959479">
      <w:bodyDiv w:val="1"/>
      <w:marLeft w:val="0"/>
      <w:marRight w:val="0"/>
      <w:marTop w:val="0"/>
      <w:marBottom w:val="0"/>
      <w:divBdr>
        <w:top w:val="none" w:sz="0" w:space="0" w:color="auto"/>
        <w:left w:val="none" w:sz="0" w:space="0" w:color="auto"/>
        <w:bottom w:val="none" w:sz="0" w:space="0" w:color="auto"/>
        <w:right w:val="none" w:sz="0" w:space="0" w:color="auto"/>
      </w:divBdr>
      <w:divsChild>
        <w:div w:id="1346010034">
          <w:marLeft w:val="0"/>
          <w:marRight w:val="0"/>
          <w:marTop w:val="0"/>
          <w:marBottom w:val="0"/>
          <w:divBdr>
            <w:top w:val="none" w:sz="0" w:space="0" w:color="auto"/>
            <w:left w:val="none" w:sz="0" w:space="0" w:color="auto"/>
            <w:bottom w:val="none" w:sz="0" w:space="0" w:color="auto"/>
            <w:right w:val="none" w:sz="0" w:space="0" w:color="auto"/>
          </w:divBdr>
          <w:divsChild>
            <w:div w:id="981235606">
              <w:marLeft w:val="0"/>
              <w:marRight w:val="0"/>
              <w:marTop w:val="0"/>
              <w:marBottom w:val="0"/>
              <w:divBdr>
                <w:top w:val="none" w:sz="0" w:space="0" w:color="auto"/>
                <w:left w:val="none" w:sz="0" w:space="0" w:color="auto"/>
                <w:bottom w:val="none" w:sz="0" w:space="0" w:color="auto"/>
                <w:right w:val="none" w:sz="0" w:space="0" w:color="auto"/>
              </w:divBdr>
              <w:divsChild>
                <w:div w:id="635723801">
                  <w:marLeft w:val="0"/>
                  <w:marRight w:val="0"/>
                  <w:marTop w:val="0"/>
                  <w:marBottom w:val="0"/>
                  <w:divBdr>
                    <w:top w:val="none" w:sz="0" w:space="0" w:color="auto"/>
                    <w:left w:val="none" w:sz="0" w:space="0" w:color="auto"/>
                    <w:bottom w:val="none" w:sz="0" w:space="0" w:color="auto"/>
                    <w:right w:val="none" w:sz="0" w:space="0" w:color="auto"/>
                  </w:divBdr>
                  <w:divsChild>
                    <w:div w:id="745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licit.harvard.edu/implicit/takeates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5913-07D1-4A45-ADE9-49472507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Green</dc:creator>
  <cp:keywords/>
  <dc:description/>
  <cp:lastModifiedBy>Khalilah Latrece Gates</cp:lastModifiedBy>
  <cp:revision>12</cp:revision>
  <dcterms:created xsi:type="dcterms:W3CDTF">2021-06-30T21:21:00Z</dcterms:created>
  <dcterms:modified xsi:type="dcterms:W3CDTF">2021-06-30T21:43:00Z</dcterms:modified>
</cp:coreProperties>
</file>